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ns32="http://schemas.openxmlformats.org/drawingml/2006/compatibility" xmlns:ns33="http://schemas.openxmlformats.org/drawingml/2006/lockedCanvas">
  <w:body>
    <w:p>
      <w:pPr>
        <w:spacing w:after="0"/>
        <w:ind w:left="0"/>
        <w:jc w:val="left"/>
      </w:pPr>
      <w:bookmarkStart w:name="id1567" w:id="0"/>
    </w:p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  <w:sz w:val="22"/>
        </w:rPr>
        <w:t xml:space="preserve">CID: </w:t>
      </w:r>
      <w:r>
        <w:rPr>
          <w:rFonts w:ascii="Calibri" w:hAnsi="Calibri" w:eastAsia="Calibri" w:cs="Calibri"/>
          <w:b/>
          <w:i w:val="false"/>
          <w:color w:val="000000"/>
          <w:sz w:val="22"/>
        </w:rPr>
        <w:t>D9A9-4EE6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  <w:sz w:val="22"/>
        </w:rPr>
        <w:t xml:space="preserve">Data wygenerowania: </w:t>
      </w:r>
      <w:r>
        <w:rPr>
          <w:rFonts w:ascii="Calibri" w:hAnsi="Calibri" w:eastAsia="Calibri" w:cs="Calibri"/>
          <w:b/>
          <w:i w:val="false"/>
          <w:color w:val="000000"/>
          <w:sz w:val="22"/>
        </w:rPr>
        <w:t>2024-01-29 09:31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 xml:space="preserve">Sprawozdanie okresowe z realizacji programu ochrony powietrza oraz jego aktualizacji </w:t>
      </w:r>
      <w:r>
        <w:rPr>
          <w:rFonts w:ascii="Calibri" w:hAnsi="Calibri" w:eastAsia="Calibri" w:cs="Calibri"/>
          <w:b/>
          <w:i w:val="false"/>
          <w:color w:val="000000"/>
          <w:vertAlign w:val="superscript"/>
        </w:rPr>
        <w:t>1)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>I. Informacja ogólna na temat sprawozdania okresowego z realizacji programu ochrony powietrza</w:t>
      </w:r>
    </w:p>
    <w:bookmarkStart w:name="id156b" w:id="1"/>
    <w:tbl>
      <w:tblPr>
        <w:tblW w:w="0" w:type="auto"/>
        <w:tblCellSpacing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9246"/>
        <w:gridCol w:w="3796"/>
      </w:tblGrid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Lp.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Zawartość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Opis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Rok referencyjny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2023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Województwo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KUJAWSKO-POMORSKIE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3.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Kod strefy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PL0404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4.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Kod programu ochrony powietrza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3)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PL0404PM10dPM2,5aBaPa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156c-w-lbl" w:id="2"/>
            <w:bookmarkEnd w:id="2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Adres strony internetowej, pod którym znajduje się sprawozdanie okresowe z realizacji programu ochrony powietrza</w:t>
            </w:r>
            <w:bookmarkStart w:name="id156c-w-lbl" w:id="3"/>
            <w:bookmarkEnd w:id="3"/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www.bip.rojewo.pl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6.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Nazwa urzędu marszałkowskiego/urzędu miasta/urzędu gminy/starostwa powiatowego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Gmina Rojewo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7.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Adres pocztowy urzędu marszałkowskiego/urzędu miasta/urzędu gminy/starostwa powiatowego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Rojewo 8/-, Rojewo, 88-111 Rojewo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8.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156e-w-lbl" w:id="4"/>
            <w:bookmarkEnd w:id="4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Imię/imiona i nazwisko/nazwiska pracownika/pracowników urzędu marszałkowskiego/urzędu miasta/urzędu gminy/starostwa powiatowego odpowiedzialnego/odpowiedzialnych za przygotowanie danych</w:t>
            </w:r>
            <w:bookmarkStart w:name="id156e-w-lbl" w:id="5"/>
            <w:bookmarkEnd w:id="5"/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Sylwia Krzewina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9.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1570-w-lbl" w:id="6"/>
            <w:bookmarkEnd w:id="6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Służbowy telefon pracownika/pracowników urzędu marszałkowskiego/urzędu miasta/urzędu gminy/ starostwa powiatowego odpowiedzialnego/odpowiedzialnych za przygotowanie danych</w:t>
            </w:r>
            <w:bookmarkStart w:name="id1570-w-lbl" w:id="7"/>
            <w:bookmarkEnd w:id="7"/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523511390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10.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1572-w-lbl" w:id="8"/>
            <w:bookmarkEnd w:id="8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Służbowy adres poczty elektronicznej pracownika/pracowników urzędu marszałkowskiego/urzędu miasta/urzędu gminy/starostwa powiatowego odpowiedzialnego/odpowiedzialnych za przygotowanie danych</w:t>
            </w:r>
            <w:bookmarkStart w:name="id1572-w-lbl" w:id="9"/>
            <w:bookmarkEnd w:id="9"/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ref.komunalny@rojewo.pl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11.</w:t>
            </w:r>
          </w:p>
        </w:tc>
        <w:tc>
          <w:tcPr>
            <w:tcW w:w="9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Uwagi</w:t>
            </w:r>
          </w:p>
        </w:tc>
        <w:tc>
          <w:tcPr>
            <w:tcW w:w="3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</w:p>
        </w:tc>
      </w:tr>
    </w:tbl>
    <w:p>
      <w:pPr>
        <w:spacing w:after="0"/>
        <w:ind w:left="0"/>
        <w:jc w:val="left"/>
      </w:pPr>
      <w:r>
        <w:br/>
      </w:r>
    </w:p>
    <w:bookmarkEnd w:id="1"/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>II. Zestawienie informacji na temat realizacji działań naprawczych</w:t>
      </w:r>
    </w:p>
    <w:tbl>
      <w:tblPr>
        <w:tblW w:w="0" w:type="auto"/>
        <w:tblCellSpacing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4801"/>
        <w:gridCol w:w="8241"/>
      </w:tblGrid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Lp.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Zawartość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Odpowiedź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1.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Kod działania naprawczego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4)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PL0404_ZSO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2.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Tytuł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Ograniczenie emisji z instalacji o małej mocy do 1 MW, w których następuje spalanie paliw stałych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3.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 xml:space="preserve">Kod sytuacji przekroczenia 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Nie dotyczy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4.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1575-w-lbl" w:id="10"/>
            <w:bookmarkEnd w:id="10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Opis</w:t>
            </w:r>
            <w:bookmarkStart w:name="id1575-w-lbl" w:id="11"/>
            <w:bookmarkEnd w:id="11"/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1) zastąpienie niskosprawnych urządzeń grzewczych podłączeniem do sieci ciepłowniczej lub urządzeniami na gaz;</w:t>
            </w:r>
            <w:r>
              <w:br/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2) działania zmierzające do wymiany niskosprawnych kotłów na paliwa stałe na: kotły na olej opałowy, ogrzewanie elektryczne, OZE, kotły spełniające Ekoprojekt, tam, gdzie nie zakazuje tego uchwała antysmogowa. Wymiana dot.: budynków mieszkalnych, lokali, budynków użyteczności publicznej, budynków usługowych, produkcyjnych i handlowych;</w:t>
            </w:r>
            <w:r>
              <w:br/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3) nowe budynki: sieć ciepłownicza lub gazowa, OZE, urządzenia na olej, ogrzewanie elektryczne lub nowe kotły spełniające Ekoprojekt(tam gdzie można)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5.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Nazwa i kod strefy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strefa kujawsko-pomorska PL0404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6.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Obszar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Rojewo gm. wiejska 0407082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7.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Termin zastosowania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lipiec 2023 - grudzień 2023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8.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Stan zaawansowania realizacji działania naprawczego w odniesieniu do wartości zaplanowanej do wykonania w danym roku sprawozdawczym  [%]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107 %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9.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Skala czasowa osiągnięcia redukcji stężenia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długoterminowe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10.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Kategoria źródeł emisji, której dotyczy działanie naprawcze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D: źródła związane z handlem i mieszkalnictwem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11.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 xml:space="preserve">Efekt rzeczowy działania naprawczego obliczony (oszacowany) na podstawie wskaźnika(-ków) monitorowania postępu realizacji działania naprawczego w ciągu roku realizacji programu ochrony powietrza                                                             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 xml:space="preserve">Miasto / ulica 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Jarki; Liszkowo; Mierogoniewice; Płonkowo; Płonkówko; Rojewo; Topola; Wybranowo; Zawiszyn; Ściborze</w:t>
            </w:r>
          </w:p>
          <w:p>
            <w:pPr>
              <w:spacing w:after="0"/>
              <w:ind w:left="0"/>
              <w:jc w:val="left"/>
            </w:pPr>
            <w:bookmarkStart w:name="id1577" w:id="12"/>
          </w:p>
          <w:bookmarkEnd w:id="12"/>
          <w:p>
            <w:pPr>
              <w:spacing w:after="0"/>
              <w:ind w:left="0"/>
              <w:jc w:val="left"/>
            </w:pPr>
            <w:bookmarkStart w:name="id1578" w:id="13"/>
          </w:p>
          <w:bookmarkEnd w:id="13"/>
          <w:p>
            <w:pPr>
              <w:spacing w:after="0"/>
              <w:ind w:left="0"/>
              <w:jc w:val="left"/>
            </w:pPr>
            <w:bookmarkStart w:name="id1579" w:id="14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zlikwidowanych kotłów na paliwo stałe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0"/>
            </w:tblGrid>
            <w:tr>
              <w:trPr>
                <w:trHeight w:val="30" w:hRule="atLeast"/>
              </w:trPr>
              <w:tc>
                <w:tcPr>
                  <w:tcW w:w="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28</w:t>
                  </w:r>
                </w:p>
              </w:tc>
            </w:tr>
          </w:tbl>
          <w:p/>
          <w:bookmarkEnd w:id="14"/>
          <w:p>
            <w:pPr>
              <w:spacing w:after="0"/>
              <w:ind w:left="0"/>
              <w:jc w:val="left"/>
            </w:pPr>
            <w:bookmarkStart w:name="id157a" w:id="15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[szt.] budynków jednorodzinnych, lokali i/lub lokali w budynkach wielorodzinnych, w których została dokonana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061"/>
              <w:gridCol w:w="4060"/>
            </w:tblGrid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podłączenie do sieci ciepłowniczej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ogrzewanie elektryczne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OZE (instalacja pompy ciepła)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21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gazowy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olejowy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piec, piecokuchnie Ekoprojekt na węgiel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z nadmuchem ręcznym na węgiel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automatyczny na węgiel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Ekoprojekt z ręcznym podawaniem paliwa na węgiel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Ekoprojekt automatyczny na węgiel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 xml:space="preserve">likwidacja kotła węglowego - zamiana na piec wysokosprawny (&gt;55%) lub kominek zamknięty na biomasę 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piec, piecokuchnie Ekoprojekt na biomasę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 xml:space="preserve">likwidacja kotła węglowego - zamiana na kocioł automatyczny na biomasę 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Ekoprojekt z ręcznym podawaniem paliwa na biomasę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Ekoprojekt automatyczny na biomasę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lub ogrzewacz pomieszczeń wg innych norm na biomasę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piec, piecokuchnie Ekoprojekt na koks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z nadmuchem ręcznym lub automatyczny na koks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Ekoprojekt z ręcznym podawaniem paliwa na koks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Ekoprojekt automatyczny na koks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bez wymiany źródła ciepła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</w:tbl>
          <w:p/>
          <w:bookmarkEnd w:id="15"/>
          <w:p>
            <w:pPr>
              <w:spacing w:after="0"/>
              <w:ind w:left="0"/>
              <w:jc w:val="left"/>
            </w:pPr>
            <w:bookmarkStart w:name="id157b" w:id="16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Powierzchnia [m²] budynków jednorodzinnych, lokali i/lub lokali w budynkach wielorodzinnych, w których została dokonana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061"/>
              <w:gridCol w:w="4060"/>
            </w:tblGrid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podłączenie do sieci ciepłowniczej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ogrzewanie elektryczne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OZE (instalacja pompy ciepła)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2962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gazowy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739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olejowy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piec, piecokuchnie Ekoprojekt na węgiel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z nadmuchem ręcznym na węgiel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automatyczny na węgiel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Ekoprojekt z ręcznym podawaniem paliwa na węgiel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Ekoprojekt automatyczny na węgiel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530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 xml:space="preserve">likwidacja kotła węglowego - zamiana na piec wysokosprawny (&gt;55%) lub kominek zamknięty na biomasę 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piec, piecokuchnie Ekoprojekt na biomasę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 xml:space="preserve">likwidacja kotła węglowego - zamiana na kocioł automatyczny na biomasę 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58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Ekoprojekt z ręcznym podawaniem paliwa na biomasę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Ekoprojekt automatyczny na biomasę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lub ogrzewacz pomieszczeń wg innych norm na biomasę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piec, piecokuchnie Ekoprojekt na koks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z nadmuchem ręcznym lub automatyczny na koks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Ekoprojekt z ręcznym podawaniem paliwa na koks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likwidacja kotła węglowego - zamiana na kocioł Ekoprojekt automatyczny na koks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0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termomodernizacja bez wymiany źródła ciepła</w:t>
                  </w:r>
                </w:p>
              </w:tc>
              <w:tc>
                <w:tcPr>
                  <w:tcW w:w="4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</w:tbl>
          <w:p/>
          <w:bookmarkEnd w:id="16"/>
          <w:p>
            <w:pPr>
              <w:spacing w:after="0"/>
              <w:ind w:left="0"/>
              <w:jc w:val="left"/>
            </w:pPr>
            <w:bookmarkStart w:name="id157c" w:id="17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Powierzchnia budynków jednorodzinnych, lokali i/lub lokali w budynkach wielorodzinnych, w których dokonano zmiany sposobu ogrzewania [m²]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400"/>
            </w:tblGrid>
            <w:tr>
              <w:trPr>
                <w:trHeight w:val="30" w:hRule="atLeast"/>
              </w:trPr>
              <w:tc>
                <w:tcPr>
                  <w:tcW w:w="1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4289</w:t>
                  </w:r>
                </w:p>
              </w:tc>
            </w:tr>
          </w:tbl>
          <w:p/>
          <w:bookmarkEnd w:id="17"/>
          <w:p>
            <w:pPr>
              <w:spacing w:after="0"/>
              <w:ind w:left="0"/>
              <w:jc w:val="left"/>
            </w:pPr>
            <w:bookmarkStart w:name="id157d" w:id="18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nowo wybudowanych budynków mieszkalnych lub lokali, które wykorzystują niskoemisyjne lub zeroemisyjne źródła ciepła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40"/>
            </w:tblGrid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</w:tbl>
          <w:p/>
          <w:bookmarkEnd w:id="18"/>
          <w:p>
            <w:pPr>
              <w:spacing w:after="0"/>
              <w:ind w:left="0"/>
              <w:jc w:val="left"/>
            </w:pPr>
            <w:bookmarkStart w:name="id157e" w:id="19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budynków, w tym jednorodzinnych i wielorodzinnych lub lokali, w których przeprowadzono termomodernizację bez wymiany źródeł ciepła lub ze zmianą sposobu ogrzewania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40"/>
            </w:tblGrid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3</w:t>
                  </w:r>
                </w:p>
              </w:tc>
            </w:tr>
          </w:tbl>
          <w:p/>
          <w:bookmarkEnd w:id="19"/>
          <w:p>
            <w:pPr>
              <w:spacing w:after="0"/>
              <w:ind w:left="0"/>
              <w:jc w:val="left"/>
            </w:pPr>
            <w:bookmarkStart w:name="id157f" w:id="20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Powierzchnia budynków, w tym jednorodzinnych i wielorodzinnych lub lokali, w których przeprowadzono termomodernizację bez wymiany źródeł ciepła lub ze zmianą sposobu ogrzewania [m²]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080"/>
            </w:tblGrid>
            <w:tr>
              <w:trPr>
                <w:trHeight w:val="30" w:hRule="atLeast"/>
              </w:trPr>
              <w:tc>
                <w:tcPr>
                  <w:tcW w:w="1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530</w:t>
                  </w:r>
                </w:p>
              </w:tc>
            </w:tr>
          </w:tbl>
          <w:p/>
          <w:bookmarkEnd w:id="20"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12.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Redukcja wielkości emisji poszczególnych substancji w powietrzu w ciągu roku osiągnięta w wyniku realizacji działania naprawczego, w ciągu roku realizacji programu ochrony powietrza (Mg/rok)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Całkowita szacunkowa redukcja emisji [Mg/rok]</w:t>
            </w:r>
          </w:p>
          <w:p>
            <w:pPr>
              <w:spacing w:after="0"/>
              <w:ind w:left="0"/>
              <w:jc w:val="left"/>
            </w:pPr>
            <w:bookmarkStart w:name="id1580" w:id="21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PM10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40"/>
            </w:tblGrid>
            <w:tr>
              <w:trPr>
                <w:trHeight w:val="30" w:hRule="atLeast"/>
              </w:trPr>
              <w:tc>
                <w:tcPr>
                  <w:tcW w:w="12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2,35</w:t>
                  </w:r>
                </w:p>
              </w:tc>
            </w:tr>
          </w:tbl>
          <w:p/>
          <w:bookmarkEnd w:id="21"/>
          <w:p>
            <w:pPr>
              <w:spacing w:after="0"/>
              <w:ind w:left="0"/>
              <w:jc w:val="left"/>
            </w:pPr>
            <w:bookmarkStart w:name="id1581" w:id="22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PM2,5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40"/>
            </w:tblGrid>
            <w:tr>
              <w:trPr>
                <w:trHeight w:val="30" w:hRule="atLeast"/>
              </w:trPr>
              <w:tc>
                <w:tcPr>
                  <w:tcW w:w="12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1,82</w:t>
                  </w:r>
                </w:p>
              </w:tc>
            </w:tr>
          </w:tbl>
          <w:p/>
          <w:bookmarkEnd w:id="22"/>
          <w:p>
            <w:pPr>
              <w:spacing w:after="0"/>
              <w:ind w:left="0"/>
              <w:jc w:val="left"/>
            </w:pPr>
            <w:bookmarkStart w:name="id1582" w:id="23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B(a)P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520"/>
            </w:tblGrid>
            <w:tr>
              <w:trPr>
                <w:trHeight w:val="30" w:hRule="atLeast"/>
              </w:trPr>
              <w:tc>
                <w:tcPr>
                  <w:tcW w:w="25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0,001543</w:t>
                  </w:r>
                </w:p>
              </w:tc>
            </w:tr>
          </w:tbl>
          <w:p/>
          <w:bookmarkEnd w:id="23"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13.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Wysokość poniesionych kosztów (w PLN)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Szacunkowy koszt: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 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1835670,00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296"/>
              <w:gridCol w:w="1903"/>
            </w:tblGrid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Źródło dofinansowania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Wartość [PLN]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własne JST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WFOŚiGW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NFOŚiGW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998742,45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FE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FEnIKS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Inne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14.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Wysokość poniesionych kosztów (w EUR)</w:t>
            </w:r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Szacunkowy koszt: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 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395865,95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296"/>
              <w:gridCol w:w="1938"/>
            </w:tblGrid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Źródło dofinansowania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Wartość [EUR]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własne JST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WFOŚiGW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NFOŚiGW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215380,83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FE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FEnIKS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Inne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15.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1583-w-lbl" w:id="24"/>
            <w:bookmarkEnd w:id="24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Uwagi</w:t>
            </w:r>
            <w:bookmarkStart w:name="id1583-w-lbl" w:id="25"/>
            <w:bookmarkEnd w:id="25"/>
          </w:p>
        </w:tc>
        <w:tc>
          <w:tcPr>
            <w:tcW w:w="8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6945"/>
        <w:gridCol w:w="6097"/>
      </w:tblGrid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Lp.</w:t>
            </w:r>
          </w:p>
        </w:tc>
        <w:tc>
          <w:tcPr>
            <w:tcW w:w="6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Zawartość</w:t>
            </w:r>
          </w:p>
        </w:tc>
        <w:tc>
          <w:tcPr>
            <w:tcW w:w="6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Odpowiedź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1.</w:t>
            </w:r>
          </w:p>
        </w:tc>
        <w:tc>
          <w:tcPr>
            <w:tcW w:w="6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Kod działania naprawczego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4)</w:t>
            </w:r>
          </w:p>
        </w:tc>
        <w:tc>
          <w:tcPr>
            <w:tcW w:w="6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PL0404_EE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2.</w:t>
            </w:r>
          </w:p>
        </w:tc>
        <w:tc>
          <w:tcPr>
            <w:tcW w:w="6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Tytuł</w:t>
            </w:r>
          </w:p>
        </w:tc>
        <w:tc>
          <w:tcPr>
            <w:tcW w:w="6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Prowadzenie edukacji ekologicznej (ulotki, imprezy, akcje szkolne, audycje, konferencje, działania informacyjne i szkoleniowe) związanej z ochroną powietrza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3.</w:t>
            </w:r>
          </w:p>
        </w:tc>
        <w:tc>
          <w:tcPr>
            <w:tcW w:w="6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 xml:space="preserve">Kod sytuacji przekroczenia 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6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Nie dotyczy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4.</w:t>
            </w:r>
          </w:p>
        </w:tc>
        <w:tc>
          <w:tcPr>
            <w:tcW w:w="6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1585-w-lbl" w:id="26"/>
            <w:bookmarkEnd w:id="26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Opis</w:t>
            </w:r>
            <w:bookmarkStart w:name="id1585-w-lbl" w:id="27"/>
            <w:bookmarkEnd w:id="27"/>
          </w:p>
        </w:tc>
        <w:tc>
          <w:tcPr>
            <w:tcW w:w="6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Działanie powinno być realizowane m.in. poprzez:</w:t>
            </w:r>
            <w:r>
              <w:br/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- prowadzenie akcji edukacyjnych uświadamiających mieszkańcom zagrożenia dla zdrowia, jakie niesie ze sobą zanieczyszczenie powietrza,</w:t>
            </w:r>
            <w:r>
              <w:br/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- prowadzenie akcji edukacyjnych uświadamiających mieszkańcom wpływ spalania paliw niskiej jakości oraz odpadów na jakość powietrza,</w:t>
            </w:r>
            <w:r>
              <w:br/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- informowanie mieszkańców o zakazach związanych z postępowaniem z odpadami oraz wynikających z obowiązującej na terenie strefy kujawsko-pomorskiej uchwały antysmogowej.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5.</w:t>
            </w:r>
          </w:p>
        </w:tc>
        <w:tc>
          <w:tcPr>
            <w:tcW w:w="6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Nazwa i kod strefy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6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strefa kujawsko-pomorska PL0404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6.</w:t>
            </w:r>
          </w:p>
        </w:tc>
        <w:tc>
          <w:tcPr>
            <w:tcW w:w="6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Obszar</w:t>
            </w:r>
          </w:p>
        </w:tc>
        <w:tc>
          <w:tcPr>
            <w:tcW w:w="6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Rojewo gm. wiejska 0407082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7.</w:t>
            </w:r>
          </w:p>
        </w:tc>
        <w:tc>
          <w:tcPr>
            <w:tcW w:w="6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Termin zastosowania</w:t>
            </w:r>
          </w:p>
        </w:tc>
        <w:tc>
          <w:tcPr>
            <w:tcW w:w="6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lipiec 2023 - grudzień 2023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8.</w:t>
            </w:r>
          </w:p>
        </w:tc>
        <w:tc>
          <w:tcPr>
            <w:tcW w:w="6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Stan zaawansowania realizacji działania naprawczego w odniesieniu do wartości zaplanowanej do wykonania w danym roku sprawozdawczym  [%]</w:t>
            </w:r>
          </w:p>
        </w:tc>
        <w:tc>
          <w:tcPr>
            <w:tcW w:w="6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100 %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9.</w:t>
            </w:r>
          </w:p>
        </w:tc>
        <w:tc>
          <w:tcPr>
            <w:tcW w:w="6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Skala czasowa osiągnięcia redukcji stężenia</w:t>
            </w:r>
          </w:p>
        </w:tc>
        <w:tc>
          <w:tcPr>
            <w:tcW w:w="6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długoterminowe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10.</w:t>
            </w:r>
          </w:p>
        </w:tc>
        <w:tc>
          <w:tcPr>
            <w:tcW w:w="6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Kategoria źródeł emisji, której dotyczy działanie naprawcze</w:t>
            </w:r>
          </w:p>
        </w:tc>
        <w:tc>
          <w:tcPr>
            <w:tcW w:w="6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D: źródła związane z handlem i mieszkalnictwem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11.</w:t>
            </w:r>
          </w:p>
        </w:tc>
        <w:tc>
          <w:tcPr>
            <w:tcW w:w="6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 xml:space="preserve">Efekt rzeczowy działania naprawczego obliczony (oszacowany) na podstawie wskaźnika(-ków) monitorowania postępu realizacji działania naprawczego w ciągu roku realizacji programu ochrony powietrza                                                             </w:t>
            </w:r>
          </w:p>
        </w:tc>
        <w:tc>
          <w:tcPr>
            <w:tcW w:w="6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1587" w:id="28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placówek oświatowych objętych edukacją ekologiczną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40"/>
            </w:tblGrid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2</w:t>
                  </w:r>
                </w:p>
              </w:tc>
            </w:tr>
          </w:tbl>
          <w:p/>
          <w:bookmarkEnd w:id="28"/>
          <w:p>
            <w:pPr>
              <w:spacing w:after="0"/>
              <w:ind w:left="0"/>
              <w:jc w:val="left"/>
            </w:pPr>
            <w:bookmarkStart w:name="id1588" w:id="29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przeprowadzonych kampanii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40"/>
            </w:tblGrid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1</w:t>
                  </w:r>
                </w:p>
              </w:tc>
            </w:tr>
          </w:tbl>
          <w:p/>
          <w:bookmarkEnd w:id="29"/>
          <w:p>
            <w:pPr>
              <w:spacing w:after="0"/>
              <w:ind w:left="0"/>
              <w:jc w:val="left"/>
            </w:pPr>
            <w:bookmarkStart w:name="id1589" w:id="30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przeprowadzonych akcji szkolnych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40"/>
            </w:tblGrid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</w:tbl>
          <w:p/>
          <w:bookmarkEnd w:id="30"/>
          <w:p>
            <w:pPr>
              <w:spacing w:after="0"/>
              <w:ind w:left="0"/>
              <w:jc w:val="left"/>
            </w:pPr>
            <w:bookmarkStart w:name="id158a" w:id="31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przeprowadzonych konferencji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40"/>
            </w:tblGrid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</w:t>
                  </w:r>
                </w:p>
              </w:tc>
            </w:tr>
          </w:tbl>
          <w:p/>
          <w:bookmarkEnd w:id="31"/>
          <w:p>
            <w:pPr>
              <w:spacing w:after="0"/>
              <w:ind w:left="0"/>
              <w:jc w:val="left"/>
            </w:pPr>
            <w:bookmarkStart w:name="id158b" w:id="32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przygotowanych materiałów edukacyjnych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080"/>
            </w:tblGrid>
            <w:tr>
              <w:trPr>
                <w:trHeight w:val="30" w:hRule="atLeast"/>
              </w:trPr>
              <w:tc>
                <w:tcPr>
                  <w:tcW w:w="1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250</w:t>
                  </w:r>
                </w:p>
              </w:tc>
            </w:tr>
          </w:tbl>
          <w:p/>
          <w:bookmarkEnd w:id="32"/>
          <w:p>
            <w:pPr>
              <w:spacing w:after="0"/>
              <w:ind w:left="0"/>
              <w:jc w:val="left"/>
            </w:pPr>
            <w:bookmarkStart w:name="id158c" w:id="33"/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Liczba osób objętych działaniami informacyjnymi i edukacyjnymi [szt.]</w:t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080"/>
            </w:tblGrid>
            <w:tr>
              <w:trPr>
                <w:trHeight w:val="30" w:hRule="atLeast"/>
              </w:trPr>
              <w:tc>
                <w:tcPr>
                  <w:tcW w:w="1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324</w:t>
                  </w:r>
                </w:p>
              </w:tc>
            </w:tr>
          </w:tbl>
          <w:p/>
          <w:bookmarkEnd w:id="33"/>
          <w:p>
            <w:pPr>
              <w:spacing w:after="0"/>
              <w:ind w:left="0"/>
              <w:jc w:val="left"/>
            </w:pPr>
            <w:bookmarkStart w:name="id158d" w:id="34"/>
          </w:p>
          <w:bookmarkEnd w:id="34"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12.</w:t>
            </w:r>
          </w:p>
        </w:tc>
        <w:tc>
          <w:tcPr>
            <w:tcW w:w="6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Redukcja wielkości emisji poszczególnych substancji w powietrzu w ciągu roku osiągnięta w wyniku realizacji działania naprawczego, w ciągu roku realizacji programu ochrony powietrza (Mg/rok)</w:t>
            </w:r>
          </w:p>
        </w:tc>
        <w:tc>
          <w:tcPr>
            <w:tcW w:w="6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Nie dotyczy</w:t>
            </w:r>
          </w:p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13.</w:t>
            </w:r>
          </w:p>
        </w:tc>
        <w:tc>
          <w:tcPr>
            <w:tcW w:w="6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Wysokość poniesionych kosztów (w PLN)</w:t>
            </w:r>
          </w:p>
        </w:tc>
        <w:tc>
          <w:tcPr>
            <w:tcW w:w="6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Szacunkowy koszt: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 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5166,00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296"/>
              <w:gridCol w:w="1903"/>
            </w:tblGrid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Źródło dofinansowania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Wartość [PLN]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własne JST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5166,00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WFOŚiGW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NFOŚiGW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FE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FEnIKS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Inne</w:t>
                  </w:r>
                </w:p>
              </w:tc>
              <w:tc>
                <w:tcPr>
                  <w:tcW w:w="19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14.</w:t>
            </w:r>
          </w:p>
        </w:tc>
        <w:tc>
          <w:tcPr>
            <w:tcW w:w="6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Wysokość poniesionych kosztów (w EUR)</w:t>
            </w:r>
          </w:p>
        </w:tc>
        <w:tc>
          <w:tcPr>
            <w:tcW w:w="6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Szacunkowy koszt: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 </w:t>
            </w: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1114,06</w:t>
            </w:r>
            <w:r>
              <w:br/>
            </w:r>
            <w:r>
              <w:br/>
            </w:r>
          </w:p>
          <w:tbl>
            <w:tblPr>
              <w:tblW w:w="0" w:type="auto"/>
              <w:tblCellSpacing w:w="2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296"/>
              <w:gridCol w:w="1938"/>
            </w:tblGrid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Źródło dofinansowania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/>
                      <w:i w:val="false"/>
                      <w:color w:val="000000"/>
                      <w:sz w:val="22"/>
                    </w:rPr>
                    <w:t>Wartość [EUR]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własne JST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1114,06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WFOŚiGW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Środki NFOŚiGW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FE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Fundusze unijne FEnIKS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Inne</w:t>
                  </w:r>
                </w:p>
              </w:tc>
              <w:tc>
                <w:tcPr>
                  <w:tcW w:w="19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Calibri" w:hAnsi="Calibri" w:eastAsia="Calibri" w:cs="Calibri"/>
                      <w:b w:val="false"/>
                      <w:i w:val="false"/>
                      <w:color w:val="000000"/>
                      <w:sz w:val="22"/>
                    </w:rPr>
                    <w:t>0,00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15.</w:t>
            </w:r>
          </w:p>
        </w:tc>
        <w:tc>
          <w:tcPr>
            <w:tcW w:w="6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bookmarkStart w:name="id158e-w-lbl" w:id="35"/>
            <w:bookmarkEnd w:id="35"/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Uwagi</w:t>
            </w:r>
            <w:bookmarkStart w:name="id158e-w-lbl" w:id="36"/>
            <w:bookmarkEnd w:id="36"/>
          </w:p>
        </w:tc>
        <w:tc>
          <w:tcPr>
            <w:tcW w:w="6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 xml:space="preserve">Informacje dodatkowe o kierunkach i zakresie podjętych działań naprawczych – zgodnie z Dz.U.2023 poz. 350, §10 ust. 1, pkt 1
                            </w:t>
      </w:r>
    </w:p>
    <w:p>
      <w:pPr>
        <w:spacing w:after="0"/>
        <w:ind w:left="0"/>
        <w:jc w:val="left"/>
      </w:pPr>
      <w:bookmarkStart w:name="id1591" w:id="37"/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Sejmik Województwa w uchwale antysmogowej wprowadził wymagania jakościowe dla biomasy dopuszczonej do stosowania w województwie.</w:t>
      </w:r>
    </w:p>
    <w:bookmarkEnd w:id="37"/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>Podsumowanie kosztów realizacji działań naprawczych</w:t>
      </w:r>
    </w:p>
    <w:bookmarkStart w:name="id1593" w:id="38"/>
    <w:tbl>
      <w:tblPr>
        <w:tblW w:w="0" w:type="auto"/>
        <w:tblCellSpacing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16"/>
        <w:gridCol w:w="1600"/>
        <w:gridCol w:w="1440"/>
      </w:tblGrid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PLN</w:t>
            </w:r>
          </w:p>
        </w:tc>
        <w:bookmarkStart w:name="id1594" w:id="39"/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EUR</w:t>
            </w:r>
          </w:p>
        </w:tc>
        <w:bookmarkEnd w:id="39"/>
      </w:tr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Szacunkowa wysokość całkowita kosztów, w tym: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1840836,00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396980,01</w:t>
            </w:r>
          </w:p>
        </w:tc>
      </w:tr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Środki własne JST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5166,00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1114,06</w:t>
            </w:r>
          </w:p>
        </w:tc>
      </w:tr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Środki WFOŚiGW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Środki NFOŚiGW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998742,45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215380,83</w:t>
            </w:r>
          </w:p>
        </w:tc>
      </w:tr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Fundusze unijne FE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Fundusze unijne FEnIKS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6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Inne</w:t>
            </w:r>
          </w:p>
        </w:tc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  <w:tc>
          <w:tcPr>
            <w:tcW w:w="1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</w:tbl>
    <w:bookmarkEnd w:id="38"/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>Podsumowanie efektów ekologicznych</w:t>
      </w:r>
    </w:p>
    <w:bookmarkStart w:name="id1595" w:id="40"/>
    <w:tbl>
      <w:tblPr>
        <w:tblW w:w="0" w:type="auto"/>
        <w:tblCellSpacing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72"/>
        <w:gridCol w:w="6535"/>
      </w:tblGrid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Nazwa substancji</w:t>
            </w:r>
          </w:p>
        </w:tc>
        <w:tc>
          <w:tcPr>
            <w:tcW w:w="6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/>
                <w:i w:val="false"/>
                <w:color w:val="000000"/>
                <w:sz w:val="22"/>
              </w:rPr>
              <w:t>Całkowita szacunkowa redukcja emisji [kg/rok]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PM10</w:t>
            </w:r>
          </w:p>
        </w:tc>
        <w:tc>
          <w:tcPr>
            <w:tcW w:w="6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2,35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PM2,5</w:t>
            </w:r>
          </w:p>
        </w:tc>
        <w:tc>
          <w:tcPr>
            <w:tcW w:w="6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1,82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B(a)P</w:t>
            </w:r>
          </w:p>
        </w:tc>
        <w:tc>
          <w:tcPr>
            <w:tcW w:w="6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0,001543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Benzen</w:t>
            </w:r>
          </w:p>
        </w:tc>
        <w:tc>
          <w:tcPr>
            <w:tcW w:w="6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Arsen</w:t>
            </w:r>
          </w:p>
        </w:tc>
        <w:tc>
          <w:tcPr>
            <w:tcW w:w="6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Nikiel</w:t>
            </w:r>
          </w:p>
        </w:tc>
        <w:tc>
          <w:tcPr>
            <w:tcW w:w="6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SO₂</w:t>
            </w:r>
          </w:p>
        </w:tc>
        <w:tc>
          <w:tcPr>
            <w:tcW w:w="6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NOx</w:t>
            </w:r>
          </w:p>
        </w:tc>
        <w:tc>
          <w:tcPr>
            <w:tcW w:w="6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CO</w:t>
            </w:r>
          </w:p>
        </w:tc>
        <w:tc>
          <w:tcPr>
            <w:tcW w:w="6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  <w:tr>
        <w:trPr>
          <w:trHeight w:val="30" w:hRule="atLeast"/>
        </w:trPr>
        <w:tc>
          <w:tcPr>
            <w:tcW w:w="2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NMLZO</w:t>
            </w:r>
          </w:p>
        </w:tc>
        <w:tc>
          <w:tcPr>
            <w:tcW w:w="6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alibri" w:hAnsi="Calibri" w:eastAsia="Calibri" w:cs="Calibri"/>
                <w:b w:val="false"/>
                <w:i w:val="false"/>
                <w:color w:val="000000"/>
                <w:sz w:val="22"/>
              </w:rPr>
              <w:t>0,00</w:t>
            </w:r>
          </w:p>
        </w:tc>
      </w:tr>
    </w:tbl>
    <w:bookmarkEnd w:id="40"/>
    <w:bookmarkStart w:name="id1596" w:id="41"/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>Objaśnienia: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 xml:space="preserve">1) </w:t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Informacja dotycząca sprawozdania okresowego z realizacji programu ochrony powietrza jest tożsama z informacją dotyczącą sprawozdania okresowego z realizacji aktualizacji programu ochrony powietrza.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 xml:space="preserve">2) </w:t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Kod strefy określony zgodnie z art. 87 ust. 2a ustawy z dnia 27 kwietnia 2001 r. – Prawo ochrony środowiska (Dz. U. z 2022 r. poz. 2556, z późn. zm.) w załączniku do tej ustawy.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 xml:space="preserve">3) </w:t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Kod dla programu może faktycznie być kodem strefy określonym w załączniku do ustawy z dnia 27 kwietnia 2001 r. – Prawo ochrony środowiska, do którego dodaje się symbol substancji, dla której zostały wykonane program ochrony powietrza lub jego aktualizacja, wraz z podaniem okresu uśredniania wyników pomiarów (na przykład PL1401PM10a). W przypadku aktualizacji programu ochrony powietrza można zastosować nowy kod programu aktualizowanego.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 xml:space="preserve">4) </w:t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Kod działania naprawczego służący do identyfikacji działań naprawczych w sprawozdaniu z realizacji programu ochrony powietrza lub jego aktualizacji przygotowywanym zgodnie z wymaganiami określonymi w przepisach wydanych na podstawie art. 94 ust. 3 ustawy z dnia 27 kwietnia 2001 r. – Prawo ochrony środowiska.</w:t>
      </w:r>
    </w:p>
    <w:p>
      <w:pPr>
        <w:spacing w:after="0"/>
        <w:ind w:left="0"/>
        <w:jc w:val="left"/>
      </w:pP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 xml:space="preserve">5) </w:t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Kod sytuacji przekroczenia służący do identyfikacji sytuacji przekroczeń w strefie. Każdej sytuacji przekroczenia nadaje się kod. Kod składa się z 7 pól: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a) kod kraju (dwa znaki: PL),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b) kod województwa (dwa znaki),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c) rok referencyjny, dla którego została wykonana roczna ocena jakości powietrza według art. 89 ustawy z dnia 27 kwietnia 2001 r. – Prawo ochrony środowiska (cztery cyfry),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d) kod strefy,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e) symbol zanieczyszczenia,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f) symbol czasu uśredniania (h/d/a/8) stężeń przekraczających poziom dopuszczalny lub poziom docelowy,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g) numer kolejny obszaru przekroczeń w strefie (dwa znaki).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Poszczególne pola należy oddzielać znakiem podkreślenia.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Przykład: PL_Mz_2018_PM10_d_01.</w:t>
      </w:r>
      <w:r>
        <w:br/>
      </w:r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Wskazany sposób kodowania sytuacji przekroczeń stosuje się począwszy od 2020 r. – dla roku referencyjnego – 2019, dla którego wykonana została ocena jakości powietrza zgodnie z art. 89 ustawy z dnia 27 kwietnia 2001 r. – Prawo ochrony środowiska.</w:t>
      </w:r>
    </w:p>
    <w:bookmarkEnd w:id="41"/>
    <w:bookmarkStart w:name="id1597" w:id="42"/>
    <w:p>
      <w:pPr>
        <w:pageBreakBefore/>
        <w:spacing w:after="0"/>
        <w:ind w:left="0"/>
        <w:jc w:val="left"/>
      </w:pPr>
      <w:bookmarkStart w:name="id1598" w:id="43"/>
    </w:p>
    <w:bookmarkEnd w:id="43"/>
    <w:p>
      <w:pPr>
        <w:spacing w:after="0"/>
        <w:ind w:left="0"/>
        <w:jc w:val="left"/>
      </w:pPr>
      <w:r>
        <w:rPr>
          <w:rFonts w:ascii="Calibri" w:hAnsi="Calibri" w:eastAsia="Calibri" w:cs="Calibri"/>
          <w:b/>
          <w:i w:val="false"/>
          <w:color w:val="000000"/>
        </w:rPr>
        <w:t xml:space="preserve">Sprawozdanie z realizacji planu działań krótkoterminowych </w:t>
      </w:r>
      <w:r>
        <w:rPr>
          <w:rFonts w:ascii="Calibri" w:hAnsi="Calibri" w:eastAsia="Calibri" w:cs="Calibri"/>
          <w:b/>
          <w:i w:val="false"/>
          <w:color w:val="000000"/>
          <w:vertAlign w:val="superscript"/>
        </w:rPr>
        <w:t>1)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bookmarkStart w:name="id159f" w:id="44"/>
      <w:r>
        <w:rPr>
          <w:rFonts w:ascii="Calibri" w:hAnsi="Calibri" w:eastAsia="Calibri" w:cs="Calibri"/>
          <w:b w:val="false"/>
          <w:i w:val="false"/>
          <w:color w:val="000000"/>
          <w:sz w:val="22"/>
        </w:rPr>
        <w:t>Nie realizowano planu działań krótkoterminowych</w:t>
      </w:r>
    </w:p>
    <w:bookmarkEnd w:id="44"/>
    <w:bookmarkEnd w:id="42"/>
    <w:bookmarkEnd w:id="0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ns32="http://schemas.openxmlformats.org/drawingml/2006/compatibility" xmlns:ns33="http://schemas.openxmlformats.org/drawingml/2006/lockedCanvas"/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ns32="http://schemas.openxmlformats.org/drawingml/2006/compatibility" xmlns:ns33="http://schemas.openxmlformats.org/drawingml/2006/lockedCanvas">
  <w:docDefaults>
    <w:rPrDefault>
      <w:rPr>
        <w:rFonts w:ascii="Calibri" w:hAnsi="Calibri" w:eastAsia="Calibri" w:cs="Calibri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pl-PL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  <w:rPr>
      <w:lang w:val="pl-PL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lang w:val="pl-PL" w:eastAsia="en-US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