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>
  <w:body>
    <w:p>
      <w:pPr>
        <w:spacing w:after="0"/>
        <w:ind w:left="0"/>
        <w:jc w:val="left"/>
      </w:pPr>
      <w:bookmarkStart w:name="id2d5" w:id="0"/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  <w:sz w:val="22"/>
        </w:rPr>
        <w:t xml:space="preserve">CID: </w:t>
      </w:r>
      <w:r>
        <w:rPr>
          <w:rFonts w:ascii="Calibri" w:hAnsi="Calibri" w:eastAsia="Calibri" w:cs="Calibri"/>
          <w:b/>
          <w:i w:val="false"/>
          <w:color w:val="000000"/>
          <w:sz w:val="22"/>
        </w:rPr>
        <w:t>F107-4E6D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 xml:space="preserve">Sprawozdanie końcowe z realizacji programu ochrony powietrza lub jego aktualizacji </w:t>
      </w:r>
      <w:r>
        <w:rPr>
          <w:rFonts w:ascii="Calibri" w:hAnsi="Calibri" w:eastAsia="Calibri" w:cs="Calibri"/>
          <w:b/>
          <w:i w:val="false"/>
          <w:color w:val="000000"/>
          <w:vertAlign w:val="superscript"/>
        </w:rPr>
        <w:t>1)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I. Informacja ogólna na temat sprawozdania końcowego z realizacji programu ochrony powietrza</w:t>
      </w:r>
    </w:p>
    <w:bookmarkStart w:name="id2d9" w:id="1"/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9246"/>
        <w:gridCol w:w="3796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Opis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Rok referencyjny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2020-2023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Województwo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KUJAWSKO-POMORSKIE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programu ochrony powietrza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PL0404PM10dBaPa_2018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2da-w-lbl" w:id="2"/>
            <w:bookmarkEnd w:id="2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Adres strony internetowej, pod którym znajduje się sprawozdanie końcowe z realizacji programu ochrony powietrza</w:t>
            </w:r>
            <w:bookmarkStart w:name="id2da-w-lbl" w:id="3"/>
            <w:bookmarkEnd w:id="3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www.bip.rojewo.pl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urzędu marszałkowskiego/urzędu miasta/urzędu gminy/starostwa powiatowego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Gmina Rojewo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Adres pocztowy urzędu marszałkowskiego/urzędu miasta/urzędu gminy/starostwa powiatowego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8\-, Rojewo, 88-111 Rojewo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2dc-w-lbl" w:id="4"/>
            <w:bookmarkEnd w:id="4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Imię/imiona i nazwisko/nazwiska pracownika/pracowników urzędu marszałkowskiego/urzędu miasta/urzędu gminy/starostwa powiatowego odpowiedzialnego/odpowiedzialnych za przygotowanie danych</w:t>
            </w:r>
            <w:bookmarkStart w:name="id2dc-w-lbl" w:id="5"/>
            <w:bookmarkEnd w:id="5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Magdalena Świderska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2de-w-lbl" w:id="6"/>
            <w:bookmarkEnd w:id="6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Służbowy telefon pracownika/pracowników urzędu marszałkowskiego/urzędu miasta/urzędu gminy/ starostwa powiatowego odpowiedzialnego/odpowiedzialnych za przygotowanie danych</w:t>
            </w:r>
            <w:bookmarkStart w:name="id2de-w-lbl" w:id="7"/>
            <w:bookmarkEnd w:id="7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523511390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2e0-w-lbl" w:id="8"/>
            <w:bookmarkEnd w:id="8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Służbowy adres poczty elektronicznej pracownika/pracowników urzędu marszałkowskiego/urzędu miasta/urzędu gminy/starostwa powiatowego odpowiedzialnego/odpowiedzialnych za przygotowanie danych</w:t>
            </w:r>
            <w:bookmarkStart w:name="id2e0-w-lbl" w:id="9"/>
            <w:bookmarkEnd w:id="9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ref.komunalny@rojewo.pl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bookmarkEnd w:id="1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II. Zestawienie informacji na temat realizacji działań naprawczych</w:t>
      </w:r>
    </w:p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322"/>
        <w:gridCol w:w="9720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9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Odpowiedź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działania naprawczego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9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PL0404_ZSO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Tytuł</w:t>
            </w:r>
          </w:p>
        </w:tc>
        <w:tc>
          <w:tcPr>
            <w:tcW w:w="9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Ograniczenie emisji z instalacji o małej mocy do 1 MW, w których następuje spalanie paliw stałych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Kod sytuacji przekroczenia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9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2e3-w-lbl" w:id="10"/>
            <w:bookmarkEnd w:id="10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Opis</w:t>
            </w:r>
            <w:bookmarkStart w:name="id2e3-w-lbl" w:id="11"/>
            <w:bookmarkEnd w:id="11"/>
          </w:p>
        </w:tc>
        <w:tc>
          <w:tcPr>
            <w:tcW w:w="9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Zastąpienie niskosprawnych urządzeń grzewczych opalanych paliwami stałymi podłączeniem do sieci ciepłowniczej lub kotłami na ogrzewanie gazowe, elektryczne, zasilanymi olejem opałowym, OZE lub kotłami węglowymi/na biomasę spełniającymi wymagania ekoprojektu w budynkach mieszkalnych, lokalach, budynkach użyteczności publicznej, budynkach usługowych, produkcyjnych i handlowych. Prowadzenie działań termomodernizacyjnych w celu zwiększenia efektywności energetycznej budynków, w których dokonywana jest wymiana urządzeń grzewczych.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i 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9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strefa kujawsko-pomorska 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Obszar</w:t>
            </w:r>
          </w:p>
        </w:tc>
        <w:tc>
          <w:tcPr>
            <w:tcW w:w="9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gm. wiejska 0407082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Termin zastosowania</w:t>
            </w:r>
          </w:p>
        </w:tc>
        <w:tc>
          <w:tcPr>
            <w:tcW w:w="9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lipiec 2020 - lipiec 2023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Skala czasowa osiągnięcia redukcji stężenia</w:t>
            </w:r>
          </w:p>
        </w:tc>
        <w:tc>
          <w:tcPr>
            <w:tcW w:w="9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długoterminowe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Kategoria źródeł emisji, której dotyczy działanie naprawcze</w:t>
            </w:r>
          </w:p>
        </w:tc>
        <w:tc>
          <w:tcPr>
            <w:tcW w:w="9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D: źródła związane z handlem i mieszkalnictwem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Efekt rzeczowy działania naprawczego obliczony (oszacowany) na podstawie wskaźnika(-ków) monitorowania postępu realizacji działania naprawczego w roku zakończenia programu</w:t>
            </w:r>
          </w:p>
        </w:tc>
        <w:tc>
          <w:tcPr>
            <w:tcW w:w="9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 xml:space="preserve">Miasto / ulica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Bród Kamienny; Dąbie; Jaszczółtowo; Jezuicka Struga; Mierogoniewice; Płonkowo; Rojewice; Rojewo; Rojewo: -; Topola; Wybranowo; Zawiszyn; Ściborze</w:t>
            </w:r>
          </w:p>
          <w:p>
            <w:pPr>
              <w:spacing w:after="0"/>
              <w:ind w:left="0"/>
              <w:jc w:val="left"/>
            </w:pPr>
            <w:bookmarkStart w:name="id2e5" w:id="12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nowo wybudowanych budynków mieszkalnych lub lokali, które wykorzystują niskoemisyjne lub zeroemisyjne źródła ciepła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12"/>
          <w:p>
            <w:pPr>
              <w:spacing w:after="0"/>
              <w:ind w:left="0"/>
              <w:jc w:val="left"/>
            </w:pPr>
            <w:bookmarkStart w:name="id2e6" w:id="13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zlikwidowanych kotłów na paliwo stałe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"/>
            </w:tblGrid>
            <w:tr>
              <w:trPr>
                <w:trHeight w:val="30" w:hRule="atLeast"/>
              </w:trPr>
              <w:tc>
                <w:tcPr>
                  <w:tcW w:w="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22</w:t>
                  </w:r>
                </w:p>
              </w:tc>
            </w:tr>
          </w:tbl>
          <w:p/>
          <w:bookmarkEnd w:id="13"/>
          <w:p>
            <w:pPr>
              <w:spacing w:after="0"/>
              <w:ind w:left="0"/>
              <w:jc w:val="left"/>
            </w:pPr>
            <w:bookmarkStart w:name="id2e7" w:id="14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[szt.] budynków, w tym jednorodzinnych i wielorodzinnych lub lokali, w których została dokonana: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800"/>
              <w:gridCol w:w="4800"/>
            </w:tblGrid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podłączenie do sieci cieplnej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paliwa węglowego na gazowe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instalacja pompy ciepła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kotła na nowy kocioł węglowy spełniający wymagania ekoprojektu, zasilany ręczne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kotła na nowy kocioł węglowy spełniający wymagania ekoprojektu, zasilany automatycznie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kotła na nowy kocioł na biomasę spełniający wymagania ekoprojektu, zasilany ręcznie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kotła na nowy kocioł na biomasę spełniający wymagania ekoprojektu, zasilany automatycznie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ogrzewania węglowego na elektryczne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paliwa węglowego na olejowe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paliwa na gazowe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paliwa na olejowe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kotła na węglowy spełniający wymagania ekoprojektu, ręczny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kotła na węglowy spełniający wymagania ekoprojektu, automatyczny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kotła na biomasę spełniający wymagania ekoprojektu, ręczny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kotła na biomasę spełniający wymagania ekoprojektu, automatyczny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likwidacja kotła węglowego poprzez podłączenie do sieci cieplnej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likwidacja kotła węglowego poprzez podłączenie pompy ciepła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likwidacja kotła węglowego poprzez zastosowanie ogrzewania elektrycznego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14"/>
          <w:p>
            <w:pPr>
              <w:spacing w:after="0"/>
              <w:ind w:left="0"/>
              <w:jc w:val="left"/>
            </w:pPr>
            <w:bookmarkStart w:name="id2e8" w:id="15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Powierzchnia [m²] budynków, w tym jednorodzinnych i wielorodzinnych lub lokali, w których została dokonana: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800"/>
              <w:gridCol w:w="4800"/>
            </w:tblGrid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podłączenie do sieci cieplnej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paliwa węglowego na gazowe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instalacja pompy ciepła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3125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kotła na nowy kocioł węglowy spełniający wymagania ekoprojektu, zasilany ręczne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kotła na nowy kocioł węglowy spełniający wymagania ekoprojektu, zasilany automatycznie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89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kotła na nowy kocioł na biomasę spełniający wymagania ekoprojektu, zasilany ręcznie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kotła na nowy kocioł na biomasę spełniający wymagania ekoprojektu, zasilany automatycznie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ogrzewania węglowego na elektryczne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paliwa węglowego na olejowe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paliwa na gazowe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paliwa na olejowe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kotła na węglowy spełniający wymagania ekoprojektu, ręczny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kotła na węglowy spełniający wymagania ekoprojektu, automatyczny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kotła na biomasę spełniający wymagania ekoprojektu, ręczny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kotła na biomasę spełniający wymagania ekoprojektu, automatyczny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2134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likwidacja kotła węglowego poprzez podłączenie do sieci cieplnej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likwidacja kotła węglowego poprzez podłączenie pompy ciepła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likwidacja kotła węglowego poprzez zastosowanie ogrzewania elektrycznego</w:t>
                  </w:r>
                </w:p>
              </w:tc>
              <w:tc>
                <w:tcPr>
                  <w:tcW w:w="4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15"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Szacunkowa redukcja wielkości emisji poszczególnych substancji w powietrzu w roku zakończenia programu w związku z realizacją działania naprawczego wskazanego  w programie (Mg/rok)</w:t>
            </w:r>
          </w:p>
        </w:tc>
        <w:tc>
          <w:tcPr>
            <w:tcW w:w="9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Całkowita szacunkowa redukcja emisji [kg/rok]</w:t>
            </w:r>
          </w:p>
          <w:p>
            <w:pPr>
              <w:spacing w:after="0"/>
              <w:ind w:left="0"/>
              <w:jc w:val="left"/>
            </w:pPr>
            <w:bookmarkStart w:name="id2e9" w:id="16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PM10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40"/>
            </w:tblGrid>
            <w:tr>
              <w:trPr>
                <w:trHeight w:val="30" w:hRule="atLeast"/>
              </w:trPr>
              <w:tc>
                <w:tcPr>
                  <w:tcW w:w="12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2,71</w:t>
                  </w:r>
                </w:p>
              </w:tc>
            </w:tr>
          </w:tbl>
          <w:p/>
          <w:bookmarkEnd w:id="16"/>
          <w:p>
            <w:pPr>
              <w:spacing w:after="0"/>
              <w:ind w:left="0"/>
              <w:jc w:val="left"/>
            </w:pPr>
            <w:bookmarkStart w:name="id2ea" w:id="17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B(a)P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520"/>
            </w:tblGrid>
            <w:tr>
              <w:trPr>
                <w:trHeight w:val="30" w:hRule="atLeast"/>
              </w:trPr>
              <w:tc>
                <w:tcPr>
                  <w:tcW w:w="2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0,001321</w:t>
                  </w:r>
                </w:p>
              </w:tc>
            </w:tr>
          </w:tbl>
          <w:p/>
          <w:bookmarkEnd w:id="17"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12.</w:t>
            </w:r>
          </w:p>
        </w:tc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całkowita poniesionych kosztów (w PLN), źródła finansowania</w:t>
            </w:r>
          </w:p>
        </w:tc>
        <w:tc>
          <w:tcPr>
            <w:tcW w:w="9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3622951,00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932"/>
              <w:gridCol w:w="1903"/>
            </w:tblGrid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[PLN]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810453,00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15000,00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507658,78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2143120,00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13.</w:t>
            </w:r>
          </w:p>
        </w:tc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całkowita poniesionych kosztów (w EUR), źródła finansowania</w:t>
            </w:r>
          </w:p>
        </w:tc>
        <w:tc>
          <w:tcPr>
            <w:tcW w:w="9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813488,19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932"/>
              <w:gridCol w:w="1938"/>
            </w:tblGrid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[EUR]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181977,05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3368,06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113988,41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481210,71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14.</w:t>
            </w:r>
          </w:p>
        </w:tc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2eb-w-lbl" w:id="18"/>
            <w:bookmarkEnd w:id="18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  <w:bookmarkStart w:name="id2eb-w-lbl" w:id="19"/>
            <w:bookmarkEnd w:id="19"/>
          </w:p>
        </w:tc>
        <w:tc>
          <w:tcPr>
            <w:tcW w:w="9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4715"/>
        <w:gridCol w:w="8327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8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Odpowiedź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działania naprawczego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8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PL0404_EE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Tytuł</w:t>
            </w:r>
          </w:p>
        </w:tc>
        <w:tc>
          <w:tcPr>
            <w:tcW w:w="8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Edukacja ekologiczna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Kod sytuacji przekroczenia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8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2ed-w-lbl" w:id="20"/>
            <w:bookmarkEnd w:id="20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Opis</w:t>
            </w:r>
            <w:bookmarkStart w:name="id2ed-w-lbl" w:id="21"/>
            <w:bookmarkEnd w:id="21"/>
          </w:p>
        </w:tc>
        <w:tc>
          <w:tcPr>
            <w:tcW w:w="8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Prowadzenie akcji edukacyjnych uświadamiających mieszkańcom: zagrożenia dla zdrowia, jakie niesie ze sobą zanieczyszczenie powietrza; wpływ spalania paliw niskiej jakości oraz odpadów na jakość powietrza oraz informowanie mieszkańców o zakazach związanych z postępowaniem z odpadami oraz wynikających z uchwały antysmogowej.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i 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8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strefa kujawsko-pomorska 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Obszar</w:t>
            </w:r>
          </w:p>
        </w:tc>
        <w:tc>
          <w:tcPr>
            <w:tcW w:w="8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gm. wiejska 0407082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Termin zastosowania</w:t>
            </w:r>
          </w:p>
        </w:tc>
        <w:tc>
          <w:tcPr>
            <w:tcW w:w="8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lipiec 2020 - grudzień 2022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Skala czasowa osiągnięcia redukcji stężenia</w:t>
            </w:r>
          </w:p>
        </w:tc>
        <w:tc>
          <w:tcPr>
            <w:tcW w:w="8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długoterminowe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Kategoria źródeł emisji, której dotyczy działanie naprawcze</w:t>
            </w:r>
          </w:p>
        </w:tc>
        <w:tc>
          <w:tcPr>
            <w:tcW w:w="8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D: źródła związane z handlem i mieszkalnictwem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Efekt rzeczowy działania naprawczego obliczony (oszacowany) na podstawie wskaźnika(-ków) monitorowania postępu realizacji działania naprawczego w roku zakończenia programu</w:t>
            </w:r>
          </w:p>
        </w:tc>
        <w:tc>
          <w:tcPr>
            <w:tcW w:w="8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2ef" w:id="22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placówek oświatowych objętych edukacją ekologiczną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"/>
            </w:tblGrid>
            <w:tr>
              <w:trPr>
                <w:trHeight w:val="30" w:hRule="atLeast"/>
              </w:trPr>
              <w:tc>
                <w:tcPr>
                  <w:tcW w:w="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14</w:t>
                  </w:r>
                </w:p>
              </w:tc>
            </w:tr>
          </w:tbl>
          <w:p/>
          <w:bookmarkEnd w:id="22"/>
          <w:p>
            <w:pPr>
              <w:spacing w:after="0"/>
              <w:ind w:left="0"/>
              <w:jc w:val="left"/>
            </w:pPr>
            <w:bookmarkStart w:name="id2f0" w:id="23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przeprowadzonych kampanii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</w:t>
                  </w:r>
                </w:p>
              </w:tc>
            </w:tr>
          </w:tbl>
          <w:p/>
          <w:bookmarkEnd w:id="23"/>
          <w:p>
            <w:pPr>
              <w:spacing w:after="0"/>
              <w:ind w:left="0"/>
              <w:jc w:val="left"/>
            </w:pPr>
            <w:bookmarkStart w:name="id2f1" w:id="24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przeprowadzonych akcji szkolnych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</w:t>
                  </w:r>
                </w:p>
              </w:tc>
            </w:tr>
          </w:tbl>
          <w:p/>
          <w:bookmarkEnd w:id="24"/>
          <w:p>
            <w:pPr>
              <w:spacing w:after="0"/>
              <w:ind w:left="0"/>
              <w:jc w:val="left"/>
            </w:pPr>
            <w:bookmarkStart w:name="id2f2" w:id="25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przeprowadzonych konferencji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25"/>
          <w:p>
            <w:pPr>
              <w:spacing w:after="0"/>
              <w:ind w:left="0"/>
              <w:jc w:val="left"/>
            </w:pPr>
            <w:bookmarkStart w:name="id2f3" w:id="26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osób objętych działaniami informacyjnymi i edukacyjnymi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80"/>
            </w:tblGrid>
            <w:tr>
              <w:trPr>
                <w:trHeight w:val="30" w:hRule="atLeast"/>
              </w:trPr>
              <w:tc>
                <w:tcPr>
                  <w:tcW w:w="1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362</w:t>
                  </w:r>
                </w:p>
              </w:tc>
            </w:tr>
          </w:tbl>
          <w:p/>
          <w:bookmarkEnd w:id="26"/>
          <w:p>
            <w:pPr>
              <w:spacing w:after="0"/>
              <w:ind w:left="0"/>
              <w:jc w:val="left"/>
            </w:pPr>
            <w:bookmarkStart w:name="id2f4" w:id="27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przygotowanych materiałów edukacyjnych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"/>
            </w:tblGrid>
            <w:tr>
              <w:trPr>
                <w:trHeight w:val="30" w:hRule="atLeast"/>
              </w:trPr>
              <w:tc>
                <w:tcPr>
                  <w:tcW w:w="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18</w:t>
                  </w:r>
                </w:p>
              </w:tc>
            </w:tr>
          </w:tbl>
          <w:p/>
          <w:bookmarkEnd w:id="27"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Szacunkowa redukcja wielkości emisji poszczególnych substancji w powietrzu w roku zakończenia programu w związku z realizacją działania naprawczego wskazanego  w programie (Mg/rok)</w:t>
            </w:r>
          </w:p>
        </w:tc>
        <w:tc>
          <w:tcPr>
            <w:tcW w:w="8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12.</w:t>
            </w:r>
          </w:p>
        </w:tc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całkowita poniesionych kosztów (w PLN), źródła finansowania</w:t>
            </w:r>
          </w:p>
        </w:tc>
        <w:tc>
          <w:tcPr>
            <w:tcW w:w="8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3878,62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932"/>
              <w:gridCol w:w="1903"/>
            </w:tblGrid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[PLN]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3878,62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13.</w:t>
            </w:r>
          </w:p>
        </w:tc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całkowita poniesionych kosztów (w EUR), źródła finansowania</w:t>
            </w:r>
          </w:p>
        </w:tc>
        <w:tc>
          <w:tcPr>
            <w:tcW w:w="8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870,90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932"/>
              <w:gridCol w:w="1938"/>
            </w:tblGrid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[EUR]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870,90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14.</w:t>
            </w:r>
          </w:p>
        </w:tc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2f5-w-lbl" w:id="28"/>
            <w:bookmarkEnd w:id="28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  <w:bookmarkStart w:name="id2f5-w-lbl" w:id="29"/>
            <w:bookmarkEnd w:id="29"/>
          </w:p>
        </w:tc>
        <w:tc>
          <w:tcPr>
            <w:tcW w:w="8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6000"/>
        <w:gridCol w:w="7042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7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Odpowiedź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działania naprawczego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7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PL0404_KPP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Tytuł</w:t>
            </w:r>
          </w:p>
        </w:tc>
        <w:tc>
          <w:tcPr>
            <w:tcW w:w="7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Prowadzenie kontroli przestrzegania przepisów ograniczających używanie paliw lub urządzeń do celów grzewczych oraz zakazu spalania odpadów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Kod sytuacji przekroczenia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7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2f7-w-lbl" w:id="30"/>
            <w:bookmarkEnd w:id="30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Opis</w:t>
            </w:r>
            <w:bookmarkStart w:name="id2f7-w-lbl" w:id="31"/>
            <w:bookmarkEnd w:id="31"/>
          </w:p>
        </w:tc>
        <w:tc>
          <w:tcPr>
            <w:tcW w:w="7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Działalność kontrolna w zakresie przestrzegania zakazu spalania odpadów w kotłach i piecach, wypalania traw i łąk oraz przestrzegania zapisów wynikających z tzw. uchwały antysmogowej, o której mowa w art. 96 ustawy POŚ.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i 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7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strefa kujawsko-pomorska 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Obszar</w:t>
            </w:r>
          </w:p>
        </w:tc>
        <w:tc>
          <w:tcPr>
            <w:tcW w:w="7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gm. wiejska 0407082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Termin zastosowania</w:t>
            </w:r>
          </w:p>
        </w:tc>
        <w:tc>
          <w:tcPr>
            <w:tcW w:w="7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lipiec 2020 - grudzień 2022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Skala czasowa osiągnięcia redukcji stężenia</w:t>
            </w:r>
          </w:p>
        </w:tc>
        <w:tc>
          <w:tcPr>
            <w:tcW w:w="7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krótkoterminowe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Kategoria źródeł emisji, której dotyczy działanie naprawcze</w:t>
            </w:r>
          </w:p>
        </w:tc>
        <w:tc>
          <w:tcPr>
            <w:tcW w:w="7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D: źródła związane z handlem i mieszkalnictwem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Efekt rzeczowy działania naprawczego obliczony (oszacowany) na podstawie wskaźnika(-ków) monitorowania postępu realizacji działania naprawczego w roku zakończenia programu</w:t>
            </w:r>
          </w:p>
        </w:tc>
        <w:tc>
          <w:tcPr>
            <w:tcW w:w="7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2f9" w:id="32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przeprowadzonych kontroli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4</w:t>
                  </w:r>
                </w:p>
              </w:tc>
            </w:tr>
          </w:tbl>
          <w:p/>
          <w:bookmarkEnd w:id="32"/>
          <w:p>
            <w:pPr>
              <w:spacing w:after="0"/>
              <w:ind w:left="0"/>
              <w:jc w:val="left"/>
            </w:pPr>
            <w:bookmarkStart w:name="id2fa" w:id="33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popełnionych wykroczeń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33"/>
          <w:p>
            <w:pPr>
              <w:spacing w:after="0"/>
              <w:ind w:left="0"/>
              <w:jc w:val="left"/>
            </w:pPr>
            <w:bookmarkStart w:name="id2fb" w:id="34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udzielonych pouczeń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</w:t>
                  </w:r>
                </w:p>
              </w:tc>
            </w:tr>
          </w:tbl>
          <w:p/>
          <w:bookmarkEnd w:id="34"/>
          <w:p>
            <w:pPr>
              <w:spacing w:after="0"/>
              <w:ind w:left="0"/>
              <w:jc w:val="left"/>
            </w:pPr>
            <w:bookmarkStart w:name="id2fc" w:id="35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wystawionych mandatów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35"/>
          <w:p>
            <w:pPr>
              <w:spacing w:after="0"/>
              <w:ind w:left="0"/>
              <w:jc w:val="left"/>
            </w:pPr>
            <w:bookmarkStart w:name="id2fd" w:id="36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spraw skierowanych do sądu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36"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Szacunkowa redukcja wielkości emisji poszczególnych substancji w powietrzu w roku zakończenia programu w związku z realizacją działania naprawczego wskazanego  w programie (Mg/rok)</w:t>
            </w:r>
          </w:p>
        </w:tc>
        <w:tc>
          <w:tcPr>
            <w:tcW w:w="7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12.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całkowita poniesionych kosztów (w PLN), źródła finansowania</w:t>
            </w:r>
          </w:p>
        </w:tc>
        <w:tc>
          <w:tcPr>
            <w:tcW w:w="7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932"/>
              <w:gridCol w:w="1903"/>
            </w:tblGrid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[PLN]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13.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całkowita poniesionych kosztów (w EUR), źródła finansowania</w:t>
            </w:r>
          </w:p>
        </w:tc>
        <w:tc>
          <w:tcPr>
            <w:tcW w:w="7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932"/>
              <w:gridCol w:w="1938"/>
            </w:tblGrid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[EUR]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14.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2fe-w-lbl" w:id="37"/>
            <w:bookmarkEnd w:id="37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  <w:bookmarkStart w:name="id2fe-w-lbl" w:id="38"/>
            <w:bookmarkEnd w:id="38"/>
          </w:p>
        </w:tc>
        <w:tc>
          <w:tcPr>
            <w:tcW w:w="7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Podsumowanie kosztów realizacji działań naprawczych</w:t>
      </w:r>
    </w:p>
    <w:bookmarkStart w:name="id302" w:id="39"/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6"/>
        <w:gridCol w:w="1600"/>
        <w:gridCol w:w="1440"/>
      </w:tblGrid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PLN</w:t>
            </w:r>
          </w:p>
        </w:tc>
        <w:bookmarkStart w:name="id303" w:id="40"/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EUR</w:t>
            </w:r>
          </w:p>
        </w:tc>
        <w:bookmarkEnd w:id="40"/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Szacunkowa wysokość całkowita kosztów, w tym: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3626829,62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814359,08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Środki własne JST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814331,62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182847,95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Środki WFOŚiGW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15000,00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3368,06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Środki NFOŚiGW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507658,78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113988,41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Fundusze unijne RPO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2143120,00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481210,71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Fundusze unijne POIŚ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Inne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</w:tbl>
    <w:bookmarkEnd w:id="39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Podsumowanie efektów ekologicznych</w:t>
      </w:r>
    </w:p>
    <w:bookmarkStart w:name="id304" w:id="41"/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72"/>
        <w:gridCol w:w="6660"/>
      </w:tblGrid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Nazwa substancji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Całkowita szacunkowa redukcja emisji [Mg/rok]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PM10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2,71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PM2,5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B(a)P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0,001321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Benzen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Arsen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Nikiel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SO₂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NOx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CO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NMLZO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</w:tbl>
    <w:bookmarkEnd w:id="41"/>
    <w:bookmarkStart w:name="id305" w:id="42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Objaśnienia: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1)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Informacja dotycząca sprawozdania końcowego z realizacji programu ochrony powietrza jest tożsama z informacją dotyczącą sprawozdania końcowego z realizacji aktualizacji programu ochrony powietrza.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2)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strefy określony zgodnie z art. 87 ust. 2a ustawy z dnia 27 kwietnia 2001 r. – Prawo ochrony środowiska (Dz. U. z 2022 r. poz. 2556, z późn. zm.) w załączniku do tej ustawy.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3)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dla programu może faktycznie być kodem strefy określonym w załączniku do ustawy z dnia 27 kwietnia 2001 r. – Prawo ochrony środowiska, do którego dodaje się symbol substancji, dla której zostały wykonane program ochrony powietrza lub jego aktualizacja, wraz z podaniem okresu uśredniania wyników pomiarów (na przykład PL1401PM10a). W przypadku aktualizacji programu ochrony powietrza można zastosować nowy kod programu aktualizowanego.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4)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działania naprawczego służący do identyfikacji działań naprawczych w sprawozdaniu z realizacji programu ochrony powietrza lub jego aktualizacji przygotowywanym zgodnie z wymaganiami określonymi w przepisach wydanych na podstawie art. 94 ust. 3 ustawy z dnia 27 kwietnia 2001 r. – Prawo ochrony środowiska.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5)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sytuacji przekroczenia służący do identyfikacji sytuacji przekroczeń w strefie. Każdej sytuacji przekroczenia nadaje się kod. Kod składa się z 7 pól: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a) kod kraju (dwa znaki: PL),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b) kod województwa (dwa znaki),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c) rok referencyjny, dla którego została wykonana roczna ocena jakości powietrza według art. 89 ustawy z dnia 27 kwietnia 2001 r. – Prawo ochrony środowiska (cztery cyfry),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d) kod strefy,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e) symbol zanieczyszczenia,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f) symbol czasu uśredniania (h/d/a/8) stężeń przekraczających poziom dopuszczalny lub poziom docelowy,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g) numer kolejny obszaru przekroczeń w strefie (dwa znaki).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Poszczególne pola należy oddzielać znakiem podkreślenia.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Przykład: PL_Mz_2018_PM10_d_01.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Wskazany sposób kodowania sytuacji przekroczeń stosuje się począwszy od 2020 r. – dla roku referencyjnego – 2019, dla którego wykonana została ocena jakości powietrza zgodnie z art. 89 ustawy z dnia 27 kwietnia 2001 r. – Prawo ochrony środowiska.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6)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Zakres informacji do uwzględnienia w sprawozdaniu końcowym z realizacji programu ochrony powietrza lub jego aktualizacji, o których mowa w pkt 2 poz. 12 i 13, nie dotyczy urzędu miasta/urzędu gminy/starostwa powiatowego.</w:t>
      </w:r>
    </w:p>
    <w:bookmarkEnd w:id="42"/>
    <w:bookmarkStart w:name="id306" w:id="43"/>
    <w:p>
      <w:pPr>
        <w:pageBreakBefore/>
        <w:spacing w:after="0"/>
        <w:ind w:left="0"/>
        <w:jc w:val="left"/>
      </w:pPr>
      <w:bookmarkStart w:name="id307" w:id="44"/>
    </w:p>
    <w:bookmarkEnd w:id="44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 xml:space="preserve">Sprawozdanie z realizacji planu działań krótkoterminowych </w:t>
      </w:r>
      <w:r>
        <w:rPr>
          <w:rFonts w:ascii="Calibri" w:hAnsi="Calibri" w:eastAsia="Calibri" w:cs="Calibri"/>
          <w:b/>
          <w:i w:val="false"/>
          <w:color w:val="000000"/>
          <w:vertAlign w:val="superscript"/>
        </w:rPr>
        <w:t>1)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bookmarkStart w:name="id30e" w:id="45"/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Nie realizowano planu działań krótkoterminowych</w:t>
      </w:r>
    </w:p>
    <w:bookmarkEnd w:id="45"/>
    <w:bookmarkEnd w:id="43"/>
    <w:bookmarkEnd w:id="0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/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>
  <w:docDefaults>
    <w:rPrDefault>
      <w:rPr>
        <w:rFonts w:ascii="Calibri" w:hAnsi="Calibri" w:eastAsia="Calibri" w:cs="Calibri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  <w:rPr>
      <w:lang w:val="pl-PL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lang w:val="pl-PL"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